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Learning Deliberative Capacities in Brazilian Schools</w:t>
      </w:r>
      <w:r w:rsidDel="00000000" w:rsidR="00000000" w:rsidRPr="00000000">
        <w:rPr>
          <w:rFonts w:ascii="Times New Roman" w:cs="Times New Roman" w:eastAsia="Times New Roman" w:hAnsi="Times New Roman"/>
          <w:b w:val="1"/>
          <w:sz w:val="24"/>
          <w:szCs w:val="24"/>
          <w:vertAlign w:val="superscript"/>
          <w:rtl w:val="0"/>
        </w:rPr>
        <w:t xml:space="preserve"> </w:t>
      </w:r>
      <w:r w:rsidDel="00000000" w:rsidR="00000000" w:rsidRPr="00000000">
        <w:rPr>
          <w:rFonts w:ascii="Times New Roman" w:cs="Times New Roman" w:eastAsia="Times New Roman" w:hAnsi="Times New Roman"/>
          <w:b w:val="1"/>
          <w:sz w:val="24"/>
          <w:szCs w:val="24"/>
          <w:rtl w:val="0"/>
        </w:rPr>
        <w:t xml:space="preserve">- Appendix </w:t>
      </w:r>
    </w:p>
    <w:p w:rsidR="00000000" w:rsidDel="00000000" w:rsidP="00000000" w:rsidRDefault="00000000" w:rsidRPr="00000000" w14:paraId="00000002">
      <w:pPr>
        <w:spacing w:befor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616960" cy="3776980"/>
            <wp:effectExtent b="0" l="0" r="0" t="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16960" cy="377698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A1: Balancing of control and treatment groups</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510" cy="2895600"/>
            <wp:effectExtent b="0" l="0" r="0" t="0"/>
            <wp:docPr id="1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51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A1: Balancing of control and treatment groups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tbl>
      <w:tblPr>
        <w:tblStyle w:val="Table1"/>
        <w:tblW w:w="7513.0" w:type="dxa"/>
        <w:jc w:val="left"/>
        <w:tblLayout w:type="fixed"/>
        <w:tblLook w:val="0400"/>
      </w:tblPr>
      <w:tblGrid>
        <w:gridCol w:w="1296"/>
        <w:gridCol w:w="1256"/>
        <w:gridCol w:w="2458"/>
        <w:gridCol w:w="6"/>
        <w:gridCol w:w="2497"/>
        <w:tblGridChange w:id="0">
          <w:tblGrid>
            <w:gridCol w:w="1296"/>
            <w:gridCol w:w="1256"/>
            <w:gridCol w:w="2458"/>
            <w:gridCol w:w="6"/>
            <w:gridCol w:w="2497"/>
          </w:tblGrid>
        </w:tblGridChange>
      </w:tblGrid>
      <w:tr>
        <w:trPr>
          <w:cantSplit w:val="0"/>
          <w:trHeight w:val="850" w:hRule="atLeast"/>
          <w:tblHeader w:val="0"/>
        </w:trPr>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9">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A">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School Classes**</w:t>
            </w:r>
          </w:p>
        </w:tc>
        <w:tc>
          <w:tcPr>
            <w:gridSpan w:val="2"/>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B">
            <w:pPr>
              <w:spacing w:line="240" w:lineRule="auto"/>
              <w:ind w:left="3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Small groups in</w:t>
            </w:r>
          </w:p>
          <w:p w:rsidR="00000000" w:rsidDel="00000000" w:rsidP="00000000" w:rsidRDefault="00000000" w:rsidRPr="00000000" w14:paraId="0000000C">
            <w:pPr>
              <w:spacing w:line="240" w:lineRule="auto"/>
              <w:ind w:left="34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Classrooms </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E">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participants in small groups</w:t>
            </w:r>
          </w:p>
        </w:tc>
      </w:tr>
      <w:tr>
        <w:trPr>
          <w:cantSplit w:val="0"/>
          <w:trHeight w:val="312" w:hRule="atLeast"/>
          <w:tblHeader w:val="0"/>
        </w:trPr>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Control Group</w:t>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FM-C</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MC-C</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7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029">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middle-class context</w:t>
            </w:r>
          </w:p>
        </w:tc>
        <w:tc>
          <w:tcPr>
            <w:gridSpan w:val="2"/>
            <w:tcBorders>
              <w:top w:color="000000" w:space="0" w:sz="4" w:val="single"/>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02B">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52</w:t>
            </w:r>
          </w:p>
        </w:tc>
      </w:tr>
      <w:tr>
        <w:trPr>
          <w:cantSplit w:val="0"/>
          <w:trHeight w:val="324"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2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LA-C</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3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RV-C</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rHeight w:val="37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7">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vulnerable context</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9">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48</w:t>
            </w:r>
          </w:p>
        </w:tc>
      </w:tr>
      <w:tr>
        <w:trPr>
          <w:cantSplit w:val="0"/>
          <w:trHeight w:val="312" w:hRule="atLeast"/>
          <w:tblHeader w:val="0"/>
        </w:trPr>
        <w:tc>
          <w:tcPr>
            <w:vMerge w:val="restart"/>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4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Treatment Groups</w:t>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4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FM-1</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5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5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5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FM-2</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MC-1</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7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7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MC-2</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08D">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middle-class context</w:t>
            </w:r>
          </w:p>
        </w:tc>
        <w:tc>
          <w:tcPr>
            <w:gridSpan w:val="2"/>
            <w:tcBorders>
              <w:top w:color="000000" w:space="0" w:sz="4" w:val="single"/>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08F">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144</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LA-1</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LA-2</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RV-1</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RV-2</w:t>
            </w:r>
          </w:p>
        </w:tc>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BA">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vulnerable context</w:t>
            </w:r>
          </w:p>
        </w:tc>
        <w:tc>
          <w:tcPr>
            <w:gridSpan w:val="2"/>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98</w:t>
            </w:r>
          </w:p>
        </w:tc>
      </w:tr>
    </w:tbl>
    <w:p w:rsidR="00000000" w:rsidDel="00000000" w:rsidP="00000000" w:rsidRDefault="00000000" w:rsidRPr="00000000" w14:paraId="000000B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A 2. Number of participants per small group in the first discussion event</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considered in the analysis. Records of the second discussion event are missing.</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preserve anonymity, we identified the schools by letters and numbers, with those ending with the letter "C" representing the control classes.</w:t>
      </w:r>
    </w:p>
    <w:tbl>
      <w:tblPr>
        <w:tblStyle w:val="Table2"/>
        <w:tblW w:w="7371.0" w:type="dxa"/>
        <w:jc w:val="left"/>
        <w:tblLayout w:type="fixed"/>
        <w:tblLook w:val="0400"/>
      </w:tblPr>
      <w:tblGrid>
        <w:gridCol w:w="1300"/>
        <w:gridCol w:w="1160"/>
        <w:gridCol w:w="2480"/>
        <w:gridCol w:w="2431"/>
        <w:tblGridChange w:id="0">
          <w:tblGrid>
            <w:gridCol w:w="1300"/>
            <w:gridCol w:w="1160"/>
            <w:gridCol w:w="2480"/>
            <w:gridCol w:w="2431"/>
          </w:tblGrid>
        </w:tblGridChange>
      </w:tblGrid>
      <w:tr>
        <w:trPr>
          <w:cantSplit w:val="0"/>
          <w:trHeight w:val="850" w:hRule="atLeast"/>
          <w:tblHeader w:val="0"/>
        </w:trPr>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2">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3">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School Classes**</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4">
            <w:pPr>
              <w:spacing w:line="240" w:lineRule="auto"/>
              <w:ind w:left="30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Small groups in </w:t>
            </w:r>
          </w:p>
          <w:p w:rsidR="00000000" w:rsidDel="00000000" w:rsidP="00000000" w:rsidRDefault="00000000" w:rsidRPr="00000000" w14:paraId="000000C5">
            <w:pPr>
              <w:spacing w:line="240" w:lineRule="auto"/>
              <w:ind w:left="303"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Classrooms </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6">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 of participants in small groups</w:t>
            </w:r>
          </w:p>
        </w:tc>
      </w:tr>
      <w:tr>
        <w:trPr>
          <w:cantSplit w:val="0"/>
          <w:trHeight w:val="324" w:hRule="atLeast"/>
          <w:tblHeader w:val="0"/>
        </w:trPr>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Control Group</w:t>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FM-C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636"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MC-C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7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0DC">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middle-class context</w:t>
            </w:r>
          </w:p>
        </w:tc>
        <w:tc>
          <w:tcPr>
            <w:tcBorders>
              <w:top w:color="000000" w:space="0" w:sz="4" w:val="single"/>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0DE">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52</w:t>
            </w:r>
          </w:p>
        </w:tc>
      </w:tr>
      <w:tr>
        <w:trPr>
          <w:cantSplit w:val="0"/>
          <w:trHeight w:val="324"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24"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1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RV-C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rHeight w:val="324"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72" w:hRule="atLeast"/>
          <w:tblHeader w:val="0"/>
        </w:trPr>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4">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vulnerable context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6">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53</w:t>
            </w:r>
          </w:p>
        </w:tc>
      </w:tr>
      <w:tr>
        <w:trPr>
          <w:cantSplit w:val="0"/>
          <w:trHeight w:val="312" w:hRule="atLeast"/>
          <w:tblHeader w:val="0"/>
        </w:trPr>
        <w:tc>
          <w:tcPr>
            <w:vMerge w:val="restart"/>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F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Treatment Groups</w:t>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FM-1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9*</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FM-2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MC-1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MC-2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12C">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middle-class context</w:t>
            </w:r>
          </w:p>
        </w:tc>
        <w:tc>
          <w:tcPr>
            <w:tcBorders>
              <w:top w:color="000000" w:space="0" w:sz="0" w:val="nil"/>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12E">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120</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RV-1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RV-2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312"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324" w:hRule="atLeast"/>
          <w:tblHeader w:val="0"/>
        </w:trPr>
        <w:tc>
          <w:tcPr>
            <w:vMerge w:val="continue"/>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50">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Subtotal vulnerable context</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52">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80</w:t>
            </w:r>
          </w:p>
        </w:tc>
      </w:tr>
    </w:tbl>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A 3. Number of participants per small groups in the second discussion event</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considered in the analysis. Records of the second discussion event are missing.</w:t>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Statistical analyses </w:t>
      </w:r>
    </w:p>
    <w:p w:rsidR="00000000" w:rsidDel="00000000" w:rsidP="00000000" w:rsidRDefault="00000000" w:rsidRPr="00000000" w14:paraId="0000015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two tests - The Z-test and Difference in Difference test (DiD) - was important to obtain more accurate results. The Z-test was chosen because it fits the structure of our data and respects our study's assumptions, category variables, and sample size (does not need to be used with large samples). This test checks for a statistically valid difference in the proportion of our analytical categories in the two discussions and also has excellent accuracy for samples with different sizes.</w:t>
      </w:r>
    </w:p>
    <w:p w:rsidR="00000000" w:rsidDel="00000000" w:rsidP="00000000" w:rsidRDefault="00000000" w:rsidRPr="00000000" w14:paraId="00000158">
      <w:pPr>
        <w:jc w:val="center"/>
        <w:rPr>
          <w:rFonts w:ascii="Cambria Math" w:cs="Cambria Math" w:eastAsia="Cambria Math" w:hAnsi="Cambria Math"/>
        </w:rPr>
      </w:pPr>
      <m:oMath>
        <m:r>
          <w:rPr>
            <w:rFonts w:ascii="Cambria Math" w:cs="Cambria Math" w:eastAsia="Cambria Math" w:hAnsi="Cambria Math"/>
          </w:rPr>
          <m:t xml:space="preserve">z=</m:t>
        </m:r>
        <m:f>
          <m:fPr>
            <m:ctrlPr>
              <w:rPr>
                <w:rFonts w:ascii="Cambria Math" w:cs="Cambria Math" w:eastAsia="Cambria Math" w:hAnsi="Cambria Math"/>
              </w:rPr>
            </m:ctrlPr>
          </m:fPr>
          <m:num>
            <m:sSub>
              <m:sSubPr>
                <m:ctrlPr>
                  <w:rPr>
                    <w:rFonts w:ascii="Cambria Math" w:cs="Cambria Math" w:eastAsia="Cambria Math" w:hAnsi="Cambria Math"/>
                  </w:rPr>
                </m:ctrlPr>
              </m:sSubPr>
              <m:e>
                <m:r>
                  <w:rPr>
                    <w:rFonts w:ascii="Cambria Math" w:cs="Cambria Math" w:eastAsia="Cambria Math" w:hAnsi="Cambria Math"/>
                  </w:rPr>
                  <m:t>ρ</m:t>
                </m:r>
                <m:r>
                  <w:rPr/>
                  <m:t xml:space="preserve">^</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ρ</m:t>
                </m:r>
                <m:r>
                  <w:rPr/>
                  <m:t xml:space="preserve">^</m:t>
                </m:r>
              </m:e>
              <m:sub>
                <m:r>
                  <w:rPr>
                    <w:rFonts w:ascii="Cambria Math" w:cs="Cambria Math" w:eastAsia="Cambria Math" w:hAnsi="Cambria Math"/>
                  </w:rPr>
                  <m:t xml:space="preserve">2</m:t>
                </m:r>
              </m:sub>
            </m:sSub>
          </m:num>
          <m:den>
            <m:rad>
              <m:radPr>
                <m:degHide m:val="1"/>
                <m:ctrlPr>
                  <w:rPr>
                    <w:rFonts w:ascii="Cambria Math" w:cs="Cambria Math" w:eastAsia="Cambria Math" w:hAnsi="Cambria Math"/>
                  </w:rPr>
                </m:ctrlPr>
              </m:radPr>
              <m:e>
                <m:bar>
                  <m:barPr>
                    <m:pos m:val="bot"/>
                    <m:ctrlPr>
                      <w:rPr>
                        <w:rFonts w:ascii="Cambria Math" w:cs="Cambria Math" w:eastAsia="Cambria Math" w:hAnsi="Cambria Math"/>
                      </w:rPr>
                    </m:ctrlPr>
                  </m:barPr>
                  <m:e>
                    <m:r>
                      <w:rPr>
                        <w:rFonts w:ascii="Cambria Math" w:cs="Cambria Math" w:eastAsia="Cambria Math" w:hAnsi="Cambria Math"/>
                      </w:rPr>
                      <m:t>ρ</m:t>
                    </m:r>
                  </m:e>
                </m:bar>
                <m:d>
                  <m:dPr>
                    <m:begChr m:val="("/>
                    <m:endChr m:val=")"/>
                    <m:ctrlPr>
                      <w:rPr>
                        <w:rFonts w:ascii="Cambria Math" w:cs="Cambria Math" w:eastAsia="Cambria Math" w:hAnsi="Cambria Math"/>
                      </w:rPr>
                    </m:ctrlPr>
                  </m:dPr>
                  <m:e>
                    <m:r>
                      <w:rPr>
                        <w:rFonts w:ascii="Cambria Math" w:cs="Cambria Math" w:eastAsia="Cambria Math" w:hAnsi="Cambria Math"/>
                      </w:rPr>
                      <m:t xml:space="preserve">1-</m:t>
                    </m:r>
                    <m:bar>
                      <m:barPr>
                        <m:pos m:val="bot"/>
                        <m:ctrlPr>
                          <w:rPr>
                            <w:rFonts w:ascii="Cambria Math" w:cs="Cambria Math" w:eastAsia="Cambria Math" w:hAnsi="Cambria Math"/>
                          </w:rPr>
                        </m:ctrlPr>
                      </m:barPr>
                      <m:e>
                        <m:r>
                          <w:rPr>
                            <w:rFonts w:ascii="Cambria Math" w:cs="Cambria Math" w:eastAsia="Cambria Math" w:hAnsi="Cambria Math"/>
                          </w:rPr>
                          <m:t>ρ</m:t>
                        </m:r>
                      </m:e>
                    </m:bar>
                  </m:e>
                </m:d>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1</m:t>
                        </m:r>
                      </m:num>
                      <m:den>
                        <m:sSub>
                          <m:sSubPr>
                            <m:ctrlPr>
                              <w:rPr>
                                <w:rFonts w:ascii="Cambria Math" w:cs="Cambria Math" w:eastAsia="Cambria Math" w:hAnsi="Cambria Math"/>
                              </w:rPr>
                            </m:ctrlPr>
                          </m:sSubPr>
                          <m:e>
                            <m:r>
                              <w:rPr>
                                <w:rFonts w:ascii="Cambria Math" w:cs="Cambria Math" w:eastAsia="Cambria Math" w:hAnsi="Cambria Math"/>
                              </w:rPr>
                              <m:t xml:space="preserve">n</m:t>
                            </m:r>
                          </m:e>
                          <m:sub>
                            <m:r>
                              <w:rPr>
                                <w:rFonts w:ascii="Cambria Math" w:cs="Cambria Math" w:eastAsia="Cambria Math" w:hAnsi="Cambria Math"/>
                              </w:rPr>
                              <m:t xml:space="preserve">1</m:t>
                            </m:r>
                          </m:sub>
                        </m:sSub>
                      </m:den>
                    </m:f>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1</m:t>
                        </m:r>
                      </m:num>
                      <m:den>
                        <m:sSub>
                          <m:sSubPr>
                            <m:ctrlPr>
                              <w:rPr>
                                <w:rFonts w:ascii="Cambria Math" w:cs="Cambria Math" w:eastAsia="Cambria Math" w:hAnsi="Cambria Math"/>
                              </w:rPr>
                            </m:ctrlPr>
                          </m:sSubPr>
                          <m:e>
                            <m:r>
                              <w:rPr>
                                <w:rFonts w:ascii="Cambria Math" w:cs="Cambria Math" w:eastAsia="Cambria Math" w:hAnsi="Cambria Math"/>
                              </w:rPr>
                              <m:t xml:space="preserve">n</m:t>
                            </m:r>
                          </m:e>
                          <m:sub>
                            <m:r>
                              <w:rPr>
                                <w:rFonts w:ascii="Cambria Math" w:cs="Cambria Math" w:eastAsia="Cambria Math" w:hAnsi="Cambria Math"/>
                              </w:rPr>
                              <m:t xml:space="preserve">2</m:t>
                            </m:r>
                          </m:sub>
                        </m:sSub>
                      </m:den>
                    </m:f>
                  </m:e>
                </m:d>
              </m:e>
            </m:rad>
          </m:den>
        </m:f>
      </m:oMath>
      <w:r w:rsidDel="00000000" w:rsidR="00000000" w:rsidRPr="00000000">
        <w:rPr>
          <w:rtl w:val="0"/>
        </w:rPr>
      </w:r>
    </w:p>
    <w:p w:rsidR="00000000" w:rsidDel="00000000" w:rsidP="00000000" w:rsidRDefault="00000000" w:rsidRPr="00000000" w14:paraId="0000015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considered a significance level of 5%, that is, we consider the test to show statistically different proportions for a category when the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-values ​​are smaller than 0.05. We adopted the following hypothesis:</w:t>
      </w:r>
    </w:p>
    <w:p w:rsidR="00000000" w:rsidDel="00000000" w:rsidP="00000000" w:rsidRDefault="00000000" w:rsidRPr="00000000" w14:paraId="0000015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H0: Discussion Event 1 – Discussion event 2 = 0 (Null hypothesis)</w:t>
      </w:r>
    </w:p>
    <w:p w:rsidR="00000000" w:rsidDel="00000000" w:rsidP="00000000" w:rsidRDefault="00000000" w:rsidRPr="00000000" w14:paraId="0000015B">
      <w:pPr>
        <w:spacing w:line="240" w:lineRule="auto"/>
        <w:rPr>
          <w:rFonts w:ascii="Times New Roman" w:cs="Times New Roman" w:eastAsia="Times New Roman" w:hAnsi="Times New Roman"/>
          <w:sz w:val="24"/>
          <w:szCs w:val="24"/>
        </w:rPr>
      </w:pPr>
      <w:sdt>
        <w:sdtPr>
          <w:tag w:val="goog_rdk_0"/>
        </w:sdtPr>
        <w:sdtContent>
          <w:r w:rsidDel="00000000" w:rsidR="00000000" w:rsidRPr="00000000">
            <w:rPr>
              <w:rFonts w:ascii="Gungsuh" w:cs="Gungsuh" w:eastAsia="Gungsuh" w:hAnsi="Gungsuh"/>
              <w:sz w:val="24"/>
              <w:szCs w:val="24"/>
              <w:rtl w:val="0"/>
            </w:rPr>
            <w:t xml:space="preserve">H1: Discussion Event 1 – Discussion event 2 ≠ 0 (Alternative hypothesis)</w:t>
          </w:r>
        </w:sdtContent>
      </w:sdt>
    </w:p>
    <w:p w:rsidR="00000000" w:rsidDel="00000000" w:rsidP="00000000" w:rsidRDefault="00000000" w:rsidRPr="00000000" w14:paraId="0000015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cases where the Z-test showed proportions that were significantly different between the first and second discussion event, we used the DiD test to estimate the treatment effect on the treated students. Since the DiD enables us to calculate the difference between the two proportions, it makes sense to perform it only when the Z-test shows a significant difference in them. That is: Treatment = T1 – T0; Control = C1 – C0</w:t>
      </w:r>
    </w:p>
    <w:p w:rsidR="00000000" w:rsidDel="00000000" w:rsidP="00000000" w:rsidRDefault="00000000" w:rsidRPr="00000000" w14:paraId="0000015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Z-test showed no significant difference in the proportions of the first and second discussion events, the DiD will also not have a significant difference. On the other hand, when the Z-test shows a significant difference, it does not imply that the DiD will necessarily be significant, but it is more likely to be. As the same sample was used in both tests, we were able to obtain consistent results</w:t>
      </w:r>
    </w:p>
    <w:p w:rsidR="00000000" w:rsidDel="00000000" w:rsidP="00000000" w:rsidRDefault="00000000" w:rsidRPr="00000000" w14:paraId="0000015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DD = (yT1 – yC1) – (yT0 – yC0)</w:t>
      </w:r>
    </w:p>
    <w:p w:rsidR="00000000" w:rsidDel="00000000" w:rsidP="00000000" w:rsidRDefault="00000000" w:rsidRPr="00000000" w14:paraId="0000015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from both groups (Control and Treatment) before and after the intervention is required. That is: C0 – control before; C1– control after; T0 – treatment before; T1 – treatment after.</w:t>
      </w:r>
    </w:p>
    <w:sectPr>
      <w:pgSz w:h="16838" w:w="11906" w:orient="portrait"/>
      <w:pgMar w:bottom="1440" w:top="1276"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Gungsuh"/>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1043F"/>
    <w:pPr>
      <w:spacing w:line="276" w:lineRule="auto"/>
    </w:pPr>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extodecomentrioChar" w:customStyle="1">
    <w:name w:val="Texto de comentário Char"/>
    <w:basedOn w:val="Fontepargpadro"/>
    <w:link w:val="Textodecomentrio"/>
    <w:uiPriority w:val="99"/>
    <w:qFormat w:val="1"/>
    <w:rPr>
      <w:sz w:val="20"/>
      <w:szCs w:val="20"/>
    </w:rPr>
  </w:style>
  <w:style w:type="character" w:styleId="Refdecomentrio">
    <w:name w:val="annotation reference"/>
    <w:basedOn w:val="Fontepargpadro"/>
    <w:uiPriority w:val="99"/>
    <w:semiHidden w:val="1"/>
    <w:unhideWhenUsed w:val="1"/>
    <w:qFormat w:val="1"/>
    <w:rPr>
      <w:sz w:val="16"/>
      <w:szCs w:val="16"/>
    </w:rPr>
  </w:style>
  <w:style w:type="character" w:styleId="AssuntodocomentrioChar" w:customStyle="1">
    <w:name w:val="Assunto do comentário Char"/>
    <w:basedOn w:val="TextodecomentrioChar"/>
    <w:link w:val="Assuntodocomentrio"/>
    <w:uiPriority w:val="99"/>
    <w:semiHidden w:val="1"/>
    <w:qFormat w:val="1"/>
    <w:rsid w:val="00470D2F"/>
    <w:rPr>
      <w:b w:val="1"/>
      <w:bCs w:val="1"/>
      <w:sz w:val="20"/>
      <w:szCs w:val="20"/>
    </w:rPr>
  </w:style>
  <w:style w:type="character" w:styleId="TextodebaloChar" w:customStyle="1">
    <w:name w:val="Texto de balão Char"/>
    <w:basedOn w:val="Fontepargpadro"/>
    <w:link w:val="Textodebalo"/>
    <w:uiPriority w:val="99"/>
    <w:semiHidden w:val="1"/>
    <w:qFormat w:val="1"/>
    <w:rsid w:val="00BD4C56"/>
    <w:rPr>
      <w:rFonts w:ascii="Tahoma" w:cs="Tahoma" w:hAnsi="Tahoma"/>
      <w:sz w:val="16"/>
      <w:szCs w:val="16"/>
    </w:rPr>
  </w:style>
  <w:style w:type="character" w:styleId="TextodenotaderodapChar" w:customStyle="1">
    <w:name w:val="Texto de nota de rodapé Char"/>
    <w:basedOn w:val="Fontepargpadro"/>
    <w:link w:val="Textodenotaderodap"/>
    <w:uiPriority w:val="99"/>
    <w:semiHidden w:val="1"/>
    <w:qFormat w:val="1"/>
    <w:rsid w:val="00566D0E"/>
    <w:rPr>
      <w:sz w:val="20"/>
      <w:szCs w:val="20"/>
    </w:rPr>
  </w:style>
  <w:style w:type="character" w:styleId="FootnoteCharacters" w:customStyle="1">
    <w:name w:val="Footnote Characters"/>
    <w:basedOn w:val="Fontepargpadro"/>
    <w:uiPriority w:val="99"/>
    <w:semiHidden w:val="1"/>
    <w:unhideWhenUsed w:val="1"/>
    <w:qFormat w:val="1"/>
    <w:rsid w:val="00566D0E"/>
    <w:rPr>
      <w:vertAlign w:val="superscript"/>
    </w:rPr>
  </w:style>
  <w:style w:type="character" w:styleId="FootnoteAnchor" w:customStyle="1">
    <w:name w:val="Footnote Anchor"/>
    <w:rPr>
      <w:vertAlign w:val="superscript"/>
    </w:rPr>
  </w:style>
  <w:style w:type="character" w:styleId="CabealhoChar" w:customStyle="1">
    <w:name w:val="Cabeçalho Char"/>
    <w:basedOn w:val="Fontepargpadro"/>
    <w:link w:val="Cabealho"/>
    <w:uiPriority w:val="99"/>
    <w:qFormat w:val="1"/>
    <w:rsid w:val="0028003A"/>
  </w:style>
  <w:style w:type="character" w:styleId="RodapChar" w:customStyle="1">
    <w:name w:val="Rodapé Char"/>
    <w:basedOn w:val="Fontepargpadro"/>
    <w:link w:val="Rodap"/>
    <w:uiPriority w:val="99"/>
    <w:qFormat w:val="1"/>
    <w:rsid w:val="0028003A"/>
  </w:style>
  <w:style w:type="character" w:styleId="TextodenotadefimChar" w:customStyle="1">
    <w:name w:val="Texto de nota de fim Char"/>
    <w:basedOn w:val="Fontepargpadro"/>
    <w:link w:val="Textodenotadefim"/>
    <w:uiPriority w:val="99"/>
    <w:semiHidden w:val="1"/>
    <w:qFormat w:val="1"/>
    <w:rsid w:val="00160392"/>
    <w:rPr>
      <w:sz w:val="20"/>
      <w:szCs w:val="20"/>
    </w:rPr>
  </w:style>
  <w:style w:type="character" w:styleId="EndnoteCharacters" w:customStyle="1">
    <w:name w:val="Endnote Characters"/>
    <w:basedOn w:val="Fontepargpadro"/>
    <w:uiPriority w:val="99"/>
    <w:semiHidden w:val="1"/>
    <w:unhideWhenUsed w:val="1"/>
    <w:qFormat w:val="1"/>
    <w:rsid w:val="00160392"/>
    <w:rPr>
      <w:vertAlign w:val="superscript"/>
    </w:rPr>
  </w:style>
  <w:style w:type="character" w:styleId="EndnoteAnchor" w:customStyle="1">
    <w:name w:val="Endnote Anchor"/>
    <w:rPr>
      <w:vertAlign w:val="superscript"/>
    </w:rPr>
  </w:style>
  <w:style w:type="character" w:styleId="Hyperlink">
    <w:name w:val="Hyperlink"/>
    <w:rPr>
      <w:color w:val="000080"/>
      <w:u w:val="single"/>
    </w:rPr>
  </w:style>
  <w:style w:type="character" w:styleId="LineNumbering" w:customStyle="1">
    <w:name w:val="Line Numbering"/>
  </w:style>
  <w:style w:type="paragraph" w:styleId="Heading" w:customStyle="1">
    <w:name w:val="Heading"/>
    <w:basedOn w:val="Normal"/>
    <w:next w:val="Corpodetexto"/>
    <w:qFormat w:val="1"/>
    <w:pPr>
      <w:keepNext w:val="1"/>
      <w:spacing w:after="120" w:before="240"/>
    </w:pPr>
    <w:rPr>
      <w:rFonts w:ascii="Liberation Sans" w:cs="Lohit Devanagari" w:eastAsia="Noto Sans CJK SC" w:hAnsi="Liberation Sans"/>
      <w:sz w:val="28"/>
      <w:szCs w:val="28"/>
    </w:rPr>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val="1"/>
    <w:pPr>
      <w:suppressLineNumbers w:val="1"/>
      <w:spacing w:after="120" w:before="120"/>
    </w:pPr>
    <w:rPr>
      <w:rFonts w:cs="Lohit Devanagari"/>
      <w:i w:val="1"/>
      <w:iCs w:val="1"/>
      <w:sz w:val="24"/>
      <w:szCs w:val="24"/>
    </w:rPr>
  </w:style>
  <w:style w:type="paragraph" w:styleId="Index" w:customStyle="1">
    <w:name w:val="Index"/>
    <w:basedOn w:val="Normal"/>
    <w:qFormat w:val="1"/>
    <w:pPr>
      <w:suppressLineNumbers w:val="1"/>
    </w:pPr>
    <w:rPr>
      <w:rFonts w:cs="Lohit Devanagari"/>
    </w:r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Textodecomentrio">
    <w:name w:val="annotation text"/>
    <w:basedOn w:val="Normal"/>
    <w:link w:val="TextodecomentrioChar"/>
    <w:uiPriority w:val="99"/>
    <w:unhideWhenUsed w:val="1"/>
    <w:qFormat w:val="1"/>
    <w:pPr>
      <w:spacing w:line="240" w:lineRule="auto"/>
    </w:pPr>
    <w:rPr>
      <w:sz w:val="20"/>
      <w:szCs w:val="20"/>
    </w:rPr>
  </w:style>
  <w:style w:type="paragraph" w:styleId="Reviso">
    <w:name w:val="Revision"/>
    <w:uiPriority w:val="99"/>
    <w:semiHidden w:val="1"/>
    <w:qFormat w:val="1"/>
    <w:rsid w:val="00007CF5"/>
  </w:style>
  <w:style w:type="paragraph" w:styleId="PargrafodaLista">
    <w:name w:val="List Paragraph"/>
    <w:basedOn w:val="Normal"/>
    <w:uiPriority w:val="34"/>
    <w:qFormat w:val="1"/>
    <w:rsid w:val="008B40D2"/>
    <w:pPr>
      <w:ind w:left="720"/>
      <w:contextualSpacing w:val="1"/>
    </w:pPr>
  </w:style>
  <w:style w:type="paragraph" w:styleId="Assuntodocomentrio">
    <w:name w:val="annotation subject"/>
    <w:basedOn w:val="Textodecomentrio"/>
    <w:next w:val="Textodecomentrio"/>
    <w:link w:val="AssuntodocomentrioChar"/>
    <w:uiPriority w:val="99"/>
    <w:semiHidden w:val="1"/>
    <w:unhideWhenUsed w:val="1"/>
    <w:qFormat w:val="1"/>
    <w:rsid w:val="00470D2F"/>
    <w:rPr>
      <w:b w:val="1"/>
      <w:bCs w:val="1"/>
    </w:rPr>
  </w:style>
  <w:style w:type="paragraph" w:styleId="Textodebalo">
    <w:name w:val="Balloon Text"/>
    <w:basedOn w:val="Normal"/>
    <w:link w:val="TextodebaloChar"/>
    <w:uiPriority w:val="99"/>
    <w:semiHidden w:val="1"/>
    <w:unhideWhenUsed w:val="1"/>
    <w:qFormat w:val="1"/>
    <w:rsid w:val="00BD4C56"/>
    <w:pPr>
      <w:spacing w:line="240" w:lineRule="auto"/>
    </w:pPr>
    <w:rPr>
      <w:rFonts w:ascii="Tahoma" w:cs="Tahoma" w:hAnsi="Tahoma"/>
      <w:sz w:val="16"/>
      <w:szCs w:val="16"/>
    </w:rPr>
  </w:style>
  <w:style w:type="paragraph" w:styleId="Textodenotaderodap">
    <w:name w:val="footnote text"/>
    <w:basedOn w:val="Normal"/>
    <w:link w:val="TextodenotaderodapChar"/>
    <w:uiPriority w:val="99"/>
    <w:semiHidden w:val="1"/>
    <w:unhideWhenUsed w:val="1"/>
    <w:rsid w:val="00566D0E"/>
    <w:pPr>
      <w:spacing w:line="240" w:lineRule="auto"/>
    </w:pPr>
    <w:rPr>
      <w:sz w:val="20"/>
      <w:szCs w:val="20"/>
    </w:rPr>
  </w:style>
  <w:style w:type="paragraph" w:styleId="HeaderandFooter" w:customStyle="1">
    <w:name w:val="Header and Footer"/>
    <w:basedOn w:val="Normal"/>
    <w:qFormat w:val="1"/>
  </w:style>
  <w:style w:type="paragraph" w:styleId="Cabealho">
    <w:name w:val="header"/>
    <w:basedOn w:val="Normal"/>
    <w:link w:val="CabealhoChar"/>
    <w:uiPriority w:val="99"/>
    <w:unhideWhenUsed w:val="1"/>
    <w:rsid w:val="0028003A"/>
    <w:pPr>
      <w:tabs>
        <w:tab w:val="center" w:pos="4513"/>
        <w:tab w:val="right" w:pos="9026"/>
      </w:tabs>
      <w:spacing w:line="240" w:lineRule="auto"/>
    </w:pPr>
  </w:style>
  <w:style w:type="paragraph" w:styleId="Rodap">
    <w:name w:val="footer"/>
    <w:basedOn w:val="Normal"/>
    <w:link w:val="RodapChar"/>
    <w:uiPriority w:val="99"/>
    <w:unhideWhenUsed w:val="1"/>
    <w:rsid w:val="0028003A"/>
    <w:pPr>
      <w:tabs>
        <w:tab w:val="center" w:pos="4513"/>
        <w:tab w:val="right" w:pos="9026"/>
      </w:tabs>
      <w:spacing w:line="240" w:lineRule="auto"/>
    </w:pPr>
  </w:style>
  <w:style w:type="paragraph" w:styleId="NormalWeb">
    <w:name w:val="Normal (Web)"/>
    <w:basedOn w:val="Normal"/>
    <w:uiPriority w:val="99"/>
    <w:semiHidden w:val="1"/>
    <w:unhideWhenUsed w:val="1"/>
    <w:qFormat w:val="1"/>
    <w:rsid w:val="00303A88"/>
    <w:pPr>
      <w:spacing w:afterAutospacing="1" w:beforeAutospacing="1" w:line="240" w:lineRule="auto"/>
    </w:pPr>
    <w:rPr>
      <w:rFonts w:ascii="Times New Roman" w:cs="Times New Roman" w:eastAsia="Times New Roman" w:hAnsi="Times New Roman"/>
      <w:sz w:val="24"/>
      <w:szCs w:val="24"/>
      <w:lang w:val="pt-BR"/>
    </w:rPr>
  </w:style>
  <w:style w:type="paragraph" w:styleId="Textodenotadefim">
    <w:name w:val="endnote text"/>
    <w:basedOn w:val="Normal"/>
    <w:link w:val="TextodenotadefimChar"/>
    <w:uiPriority w:val="99"/>
    <w:semiHidden w:val="1"/>
    <w:unhideWhenUsed w:val="1"/>
    <w:rsid w:val="00160392"/>
    <w:pPr>
      <w:spacing w:line="240" w:lineRule="auto"/>
    </w:pPr>
    <w:rPr>
      <w:sz w:val="20"/>
      <w:szCs w:val="20"/>
    </w:rPr>
  </w:style>
  <w:style w:type="table" w:styleId="TableNormal1" w:customStyle="1">
    <w:name w:val="Table Normal1"/>
    <w:tblPr>
      <w:tblCellMar>
        <w:top w:w="0.0" w:type="dxa"/>
        <w:left w:w="0.0" w:type="dxa"/>
        <w:bottom w:w="0.0" w:type="dxa"/>
        <w:right w:w="0.0" w:type="dxa"/>
      </w:tblCellMar>
    </w:tblPr>
  </w:style>
  <w:style w:type="paragraph" w:styleId="SemEspaamento">
    <w:name w:val="No Spacing"/>
    <w:uiPriority w:val="1"/>
    <w:qFormat w:val="1"/>
    <w:rsid w:val="0029482C"/>
    <w:pPr>
      <w:suppressAutoHyphens w:val="0"/>
    </w:pPr>
    <w:rPr>
      <w:rFonts w:ascii="Times New Roman" w:cs="Times New Roman" w:eastAsia="Times New Roman" w:hAnsi="Times New Roman"/>
      <w:sz w:val="24"/>
      <w:szCs w:val="24"/>
      <w:lang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AZq7wKh1KtYJU+85+LqnIgJng==">CgMxLjAaJQoBMBIgCh4IB0IaCg9UaW1lcyBOZXcgUm9tYW4SB0d1bmdzdWg4AHIhMUtQaXBtdHhxZ2NyQzJBSDJNMU9PRGRoSUEwclVqZW1C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2023-03-30T16:41:00Z</dcterms:created>
  <dc:creator>Revisora</dc:creator>
</cp:coreProperties>
</file>